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EE42A6" w:rsidRPr="00A039E3" w:rsidRDefault="00EE42A6" w:rsidP="00EE42A6">
      <w:pPr>
        <w:spacing w:after="6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A039E3">
        <w:rPr>
          <w:rFonts w:ascii="Arial" w:eastAsia="Times New Roman" w:hAnsi="Arial" w:cs="Arial"/>
          <w:b/>
          <w:sz w:val="20"/>
          <w:szCs w:val="20"/>
          <w:lang w:val="es-ES" w:eastAsia="es-ES"/>
        </w:rPr>
        <w:t>Artículo 16.-</w:t>
      </w: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Para efectos de lo dispuesto en el artículo 21 de la Ley, los titulares de las dependencias y entidades, o bien, los oficiales mayores o equivalentes, aprobarán </w:t>
      </w:r>
      <w:r w:rsidRPr="00A039E3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el programa anual de obras y servicios</w:t>
      </w: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>. La planeación e integración de dicho programa y, en su caso, su presentación ante los titulares de las dependencias y entidades para su aprobación, será responsabilidad de los oficiales mayores o equivalentes, a partir de la información que les proporcionen las Áreas requirentes y deberá contener como mínimo la descripción y periodo estimado de ejecución de las obras y servicios.</w:t>
      </w:r>
    </w:p>
    <w:p w:rsidR="00EE42A6" w:rsidRPr="00A039E3" w:rsidRDefault="00EE42A6" w:rsidP="00EE42A6">
      <w:pPr>
        <w:spacing w:after="6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A039E3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En el programa anual de obras y servicios, las dependencias</w:t>
      </w: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y entidades deberán integrar un rubro que incluya los proyectos de las obras que se tenga programado ejecutar en el ejercicio fiscal correspondiente y otro rubro para las obras que, en su caso, se tenga considerado ejecutar en ejercicios subsecuentes.</w:t>
      </w:r>
    </w:p>
    <w:p w:rsidR="00A039E3" w:rsidRPr="00A039E3" w:rsidRDefault="00A039E3" w:rsidP="00A039E3">
      <w:pPr>
        <w:spacing w:after="40" w:line="216" w:lineRule="exact"/>
        <w:ind w:firstLine="288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:rsidR="00A039E3" w:rsidRPr="00A039E3" w:rsidRDefault="00A039E3" w:rsidP="00A039E3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A039E3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Artículo 21.- </w:t>
      </w: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>Para los efectos del quinto párrafo del artículo 18 de la Ley, se entenderá por estudios, planes y programas para el desarrollo de proyectos a cualquier propuesta conceptual formulada por escrito en términos de este artículo y que se refiera en su conjunto a un mismo proyecto de obra, asociada o no a proyectos de infraestructura.</w:t>
      </w:r>
    </w:p>
    <w:p w:rsidR="00A039E3" w:rsidRPr="00A039E3" w:rsidRDefault="00A039E3" w:rsidP="00A039E3">
      <w:pPr>
        <w:spacing w:after="40" w:line="216" w:lineRule="exact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>Las personas, entidades federativas o municipios que pretendan promover y presentar estudios, planes y programas a consideración de las dependencias y entidades, en términos de lo dispuesto por el quinto párrafo del artículo 18 de la Ley, deberán elaborar una propuesta en la que se especifique y proporcione la siguiente información y documentación:</w:t>
      </w:r>
    </w:p>
    <w:p w:rsidR="00A039E3" w:rsidRPr="00A039E3" w:rsidRDefault="00A039E3" w:rsidP="00A039E3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A039E3" w:rsidRPr="00A039E3" w:rsidRDefault="00A039E3" w:rsidP="00A039E3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 xml:space="preserve">La autorización de los estudios, planes y programas únicamente tendrá el efecto de que los mismos se consideren viables, a partir de lo cual la dependencia o entidad que autoriza realizará las gestiones legales, presupuestarias y administrativas tendientes a incorporarlos </w:t>
      </w:r>
      <w:r w:rsidRPr="00A039E3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a su programa anual de obras y servicios. Una vez que los estudios, planes y programas se incluyan en el programa anual de obras y servicios correspondiente, la dependencia o entidad estará en posi</w:t>
      </w:r>
      <w:bookmarkStart w:id="0" w:name="_GoBack"/>
      <w:bookmarkEnd w:id="0"/>
      <w:r w:rsidRPr="00A039E3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bilidad de contratar, en su caso, los servicios complementarios que permitan la elaboración o conclusión del proyecto correspondiente</w:t>
      </w: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>.</w:t>
      </w:r>
    </w:p>
    <w:p w:rsidR="00A039E3" w:rsidRPr="00A039E3" w:rsidRDefault="00A039E3" w:rsidP="00A039E3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>Lo dispuesto en el párrafo anterior se aplicará sin perjuicio de que las dependencias y entidades, presenten el proyecto de obra correspondiente, para efectos de lo dispuesto en los artículos 32, primer párrafo, 34 y 50 de la Ley Federal de Presupuesto y Responsabilidad Hacendaria.</w:t>
      </w:r>
    </w:p>
    <w:p w:rsidR="00A039E3" w:rsidRPr="00A039E3" w:rsidRDefault="00A039E3" w:rsidP="00A039E3">
      <w:pPr>
        <w:spacing w:after="22" w:line="200" w:lineRule="exact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>Los estudios, planes y programas a que se refiere el presente artículo presentados por particulares, entidades federativas y municipios que reúnan las condiciones de factibilidad y los requerimientos para ser considerados en los programas anuales de obras y servicios de las dependencias y entidades, podrán incorporarse en los mismos para el ejercicio de que se trate, en términos del quinto párrafo del artículo 18 de la Ley, quedando sujetos a los procedimientos de contratación previstos en la misma.</w:t>
      </w:r>
    </w:p>
    <w:p w:rsidR="00A039E3" w:rsidRPr="00A039E3" w:rsidRDefault="00A039E3" w:rsidP="00A039E3">
      <w:pPr>
        <w:spacing w:after="22" w:line="200" w:lineRule="exact"/>
        <w:ind w:firstLine="288"/>
        <w:jc w:val="both"/>
        <w:rPr>
          <w:rFonts w:ascii="Arial" w:eastAsia="Times New Roman" w:hAnsi="Arial" w:cs="Arial"/>
          <w:lang w:val="es-ES" w:eastAsia="es-ES"/>
        </w:rPr>
      </w:pPr>
      <w:r w:rsidRPr="00A039E3">
        <w:rPr>
          <w:rFonts w:ascii="Arial" w:eastAsia="Times New Roman" w:hAnsi="Arial" w:cs="Arial"/>
          <w:sz w:val="20"/>
          <w:szCs w:val="20"/>
          <w:lang w:val="es-ES" w:eastAsia="es-ES"/>
        </w:rPr>
        <w:t>Tratándose de estudios, planes y programas para la realización de obras asociadas a proyectos de infraestructura a que se refieren los párrafos sexto, séptimo, octavo y noveno del artículo 18 de la Ley, además de lo</w:t>
      </w:r>
      <w:r w:rsidRPr="00A039E3">
        <w:rPr>
          <w:rFonts w:ascii="Arial" w:eastAsia="Times New Roman" w:hAnsi="Arial" w:cs="Arial"/>
          <w:lang w:val="es-ES" w:eastAsia="es-ES"/>
        </w:rPr>
        <w:t xml:space="preserve"> previsto en el presente artículo, se atenderá lo dispuesto en el Capítulo Noveno del Título Segundo de este Reglamento.</w:t>
      </w:r>
    </w:p>
    <w:p w:rsidR="00EE42A6" w:rsidRDefault="00EE42A6">
      <w:pPr>
        <w:rPr>
          <w:lang w:val="es-ES"/>
        </w:rPr>
      </w:pPr>
    </w:p>
    <w:p w:rsidR="00A039E3" w:rsidRPr="00EE42A6" w:rsidRDefault="00A039E3">
      <w:pPr>
        <w:rPr>
          <w:lang w:val="es-ES"/>
        </w:rPr>
      </w:pPr>
    </w:p>
    <w:sectPr w:rsidR="00A039E3" w:rsidRPr="00EE42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0729B"/>
    <w:rsid w:val="002815CE"/>
    <w:rsid w:val="00413DB3"/>
    <w:rsid w:val="006950E2"/>
    <w:rsid w:val="006F7B91"/>
    <w:rsid w:val="00A039E3"/>
    <w:rsid w:val="00EE42A6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2013-04-19T17:44:00Z</dcterms:created>
  <dcterms:modified xsi:type="dcterms:W3CDTF">2013-04-19T17:44:00Z</dcterms:modified>
</cp:coreProperties>
</file>